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06"/>
        <w:gridCol w:w="4606"/>
      </w:tblGrid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 nr 2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Ogólne Zasady Rozpatrzenia Reklamacji Uk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ładów Rozrządu i Osprzętu Dexwal</w:t>
            </w: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Firma Dexwal zobowi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ązuje się do pokrycia kosztów naprawy pojazdu w przypadku awarii spowodowanej defektem zestawu rozrządu zakupionego przez klienta ostatecznego. Warunkiem niezbędnym jest dostarczenie dokumentacji potwierdzającej, iż szkoda wynikła z wady tkwiącej w zestawie rozrządu w trakcie trwania gwarancji. Wymagana dokumentacja to: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  <w:tab/>
              <w:t xml:space="preserve">rachunek potwierdzaj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ący zakup rozrządu w firmie Auto Komis Zawady 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  <w:tab/>
              <w:t xml:space="preserve">rachunek z wymiany rozrz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ądu przeprowadzonej w wyspecjalizowanym warsztacie posiadającym niezbędne oprzyrządowanie – potrzebne do prawidłowej wymiany zgodne z zaleceniami producenta;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  <w:tab/>
              <w:t xml:space="preserve">formularz reklamacyjny Auto Komis Zawady 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Firma Dexwal zobowi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ązuje się powołać rzeczoznawcę techniki samochodowej w celu wykazania czy istnieje związek przyczynowy między szkodą, która wystąpiła w pojeździe, a wadą zestawu rozrządu sprzedanego klientowi ostatecznemu.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